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01305" w14:textId="77777777" w:rsidR="007B6B62" w:rsidRPr="007B6B62" w:rsidRDefault="007B6B62" w:rsidP="007B6B62">
      <w:pPr>
        <w:jc w:val="both"/>
        <w:rPr>
          <w:rFonts w:cstheme="minorHAnsi"/>
          <w:lang w:val="en-GB"/>
        </w:rPr>
      </w:pPr>
    </w:p>
    <w:p w14:paraId="0E2DA8D5" w14:textId="77777777" w:rsidR="007B6B62" w:rsidRDefault="007B6B62" w:rsidP="007B6B62">
      <w:pPr>
        <w:jc w:val="both"/>
        <w:rPr>
          <w:rFonts w:eastAsia="Times New Roman" w:cstheme="minorHAnsi"/>
          <w:b/>
          <w:bCs/>
          <w:kern w:val="0"/>
          <w:lang w:val="en-GB" w:eastAsia="pt-PT"/>
          <w14:ligatures w14:val="none"/>
        </w:rPr>
      </w:pPr>
      <w:r w:rsidRPr="007B6B62">
        <w:rPr>
          <w:rFonts w:eastAsia="Times New Roman" w:cstheme="minorHAnsi"/>
          <w:b/>
          <w:bCs/>
          <w:kern w:val="0"/>
          <w:lang w:val="en-GB" w:eastAsia="pt-PT"/>
          <w14:ligatures w14:val="none"/>
        </w:rPr>
        <w:t>Minutes of the 1st Hybrid EU Level Conference</w:t>
      </w:r>
      <w:r>
        <w:rPr>
          <w:rFonts w:eastAsia="Times New Roman" w:cstheme="minorHAnsi"/>
          <w:b/>
          <w:bCs/>
          <w:kern w:val="0"/>
          <w:lang w:val="en-GB" w:eastAsia="pt-PT"/>
          <w14:ligatures w14:val="none"/>
        </w:rPr>
        <w:t xml:space="preserve"> of project IMET - </w:t>
      </w:r>
      <w:r w:rsidRPr="007B6B62">
        <w:rPr>
          <w:rFonts w:eastAsia="Times New Roman" w:cstheme="minorHAnsi"/>
          <w:b/>
          <w:bCs/>
          <w:kern w:val="0"/>
          <w:lang w:val="en-GB" w:eastAsia="pt-PT"/>
          <w14:ligatures w14:val="none"/>
        </w:rPr>
        <w:t>Innovating Social Dialogue and Collective Bargaining Toward Artificial Intelligence in the MET Industries</w:t>
      </w:r>
      <w:r w:rsidRPr="007B6B62">
        <w:rPr>
          <w:rFonts w:eastAsia="Times New Roman" w:cstheme="minorHAnsi"/>
          <w:kern w:val="0"/>
          <w:lang w:val="en-GB" w:eastAsia="pt-PT"/>
          <w14:ligatures w14:val="none"/>
        </w:rPr>
        <w:br/>
      </w:r>
    </w:p>
    <w:p w14:paraId="3A3B423C" w14:textId="59C8FA0D" w:rsidR="007B6B62" w:rsidRPr="007B6B62" w:rsidRDefault="007B6B62" w:rsidP="007B6B62">
      <w:pPr>
        <w:jc w:val="both"/>
        <w:rPr>
          <w:rFonts w:eastAsia="Times New Roman" w:cstheme="minorHAnsi"/>
          <w:kern w:val="0"/>
          <w:lang w:val="en-GB" w:eastAsia="pt-PT"/>
          <w14:ligatures w14:val="none"/>
        </w:rPr>
      </w:pPr>
      <w:r w:rsidRPr="007B6B62">
        <w:rPr>
          <w:rFonts w:eastAsia="Times New Roman" w:cstheme="minorHAnsi"/>
          <w:b/>
          <w:bCs/>
          <w:kern w:val="0"/>
          <w:lang w:val="en-GB" w:eastAsia="pt-PT"/>
          <w14:ligatures w14:val="none"/>
        </w:rPr>
        <w:t>Zagreb, Croatia | 7–8 May 2025</w:t>
      </w:r>
    </w:p>
    <w:p w14:paraId="630910DF" w14:textId="25792BBF" w:rsidR="007B6B62" w:rsidRPr="007B6B62" w:rsidRDefault="007B6B62" w:rsidP="007B6B62">
      <w:pPr>
        <w:jc w:val="both"/>
        <w:rPr>
          <w:rFonts w:eastAsia="Times New Roman" w:cstheme="minorHAnsi"/>
          <w:kern w:val="0"/>
          <w:lang w:val="en-GB" w:eastAsia="pt-PT"/>
          <w14:ligatures w14:val="none"/>
        </w:rPr>
      </w:pPr>
      <w:r w:rsidRPr="007B6B62">
        <w:rPr>
          <w:rFonts w:eastAsia="Times New Roman" w:cstheme="minorHAnsi"/>
          <w:b/>
          <w:bCs/>
          <w:kern w:val="0"/>
          <w:lang w:val="en-GB" w:eastAsia="pt-PT"/>
          <w14:ligatures w14:val="none"/>
        </w:rPr>
        <w:t>Day 1: 7</w:t>
      </w:r>
      <w:r w:rsidRPr="007B6B62">
        <w:rPr>
          <w:rFonts w:eastAsia="Times New Roman" w:cstheme="minorHAnsi"/>
          <w:b/>
          <w:bCs/>
          <w:kern w:val="0"/>
          <w:vertAlign w:val="superscript"/>
          <w:lang w:val="en-GB" w:eastAsia="pt-PT"/>
          <w14:ligatures w14:val="none"/>
        </w:rPr>
        <w:t>th</w:t>
      </w:r>
      <w:r>
        <w:rPr>
          <w:rFonts w:eastAsia="Times New Roman" w:cstheme="minorHAnsi"/>
          <w:b/>
          <w:bCs/>
          <w:kern w:val="0"/>
          <w:lang w:val="en-GB" w:eastAsia="pt-PT"/>
          <w14:ligatures w14:val="none"/>
        </w:rPr>
        <w:t xml:space="preserve"> of</w:t>
      </w:r>
      <w:r w:rsidRPr="007B6B62">
        <w:rPr>
          <w:rFonts w:eastAsia="Times New Roman" w:cstheme="minorHAnsi"/>
          <w:b/>
          <w:bCs/>
          <w:kern w:val="0"/>
          <w:lang w:val="en-GB" w:eastAsia="pt-PT"/>
          <w14:ligatures w14:val="none"/>
        </w:rPr>
        <w:t xml:space="preserve"> May 2025</w:t>
      </w:r>
    </w:p>
    <w:p w14:paraId="6DD9301F" w14:textId="4542904D" w:rsidR="007B6B62" w:rsidRPr="007B6B62" w:rsidRDefault="007B6B62" w:rsidP="007B6B62">
      <w:pPr>
        <w:jc w:val="both"/>
        <w:rPr>
          <w:rFonts w:eastAsia="Times New Roman" w:cstheme="minorHAnsi"/>
          <w:kern w:val="0"/>
          <w:lang w:val="en-GB" w:eastAsia="pt-PT"/>
          <w14:ligatures w14:val="none"/>
        </w:rPr>
      </w:pPr>
      <w:r w:rsidRPr="007B6B62">
        <w:rPr>
          <w:rFonts w:eastAsia="Times New Roman" w:cstheme="minorHAnsi"/>
          <w:kern w:val="0"/>
          <w:lang w:val="en-GB" w:eastAsia="pt-PT"/>
          <w14:ligatures w14:val="none"/>
        </w:rPr>
        <w:t xml:space="preserve">The conference </w:t>
      </w:r>
      <w:r>
        <w:rPr>
          <w:rFonts w:eastAsia="Times New Roman" w:cstheme="minorHAnsi"/>
          <w:kern w:val="0"/>
          <w:lang w:val="en-GB" w:eastAsia="pt-PT"/>
          <w14:ligatures w14:val="none"/>
        </w:rPr>
        <w:t>started</w:t>
      </w:r>
      <w:r w:rsidRPr="007B6B62">
        <w:rPr>
          <w:rFonts w:eastAsia="Times New Roman" w:cstheme="minorHAnsi"/>
          <w:kern w:val="0"/>
          <w:lang w:val="en-GB" w:eastAsia="pt-PT"/>
          <w14:ligatures w14:val="none"/>
        </w:rPr>
        <w:t xml:space="preserve"> with the registration of participants, followed by welcoming remarks delivered by representatives from the project team (SMH</w:t>
      </w:r>
      <w:r w:rsidR="00233101">
        <w:rPr>
          <w:rFonts w:eastAsia="Times New Roman" w:cstheme="minorHAnsi"/>
          <w:kern w:val="0"/>
          <w:lang w:val="en-GB" w:eastAsia="pt-PT"/>
          <w14:ligatures w14:val="none"/>
        </w:rPr>
        <w:t>-IS</w:t>
      </w:r>
      <w:r w:rsidRPr="007B6B62">
        <w:rPr>
          <w:rFonts w:eastAsia="Times New Roman" w:cstheme="minorHAnsi"/>
          <w:kern w:val="0"/>
          <w:lang w:val="en-GB" w:eastAsia="pt-PT"/>
          <w14:ligatures w14:val="none"/>
        </w:rPr>
        <w:t>). The introductory statements framed the purpose of the event, emphasizing the role of social dialogue in ensuring a human-centric and balanced implementation of artificial intelligence (AI) in the MET industries.</w:t>
      </w:r>
    </w:p>
    <w:p w14:paraId="401811CB" w14:textId="77777777" w:rsidR="007B6B62" w:rsidRPr="007B6B62" w:rsidRDefault="007B6B62" w:rsidP="007B6B62">
      <w:pPr>
        <w:jc w:val="both"/>
        <w:rPr>
          <w:rFonts w:eastAsia="Times New Roman" w:cstheme="minorHAnsi"/>
          <w:b/>
          <w:bCs/>
          <w:kern w:val="0"/>
          <w:lang w:val="en-GB" w:eastAsia="pt-PT"/>
          <w14:ligatures w14:val="none"/>
        </w:rPr>
      </w:pPr>
      <w:r w:rsidRPr="007B6B62">
        <w:rPr>
          <w:rFonts w:eastAsia="Times New Roman" w:cstheme="minorHAnsi"/>
          <w:b/>
          <w:bCs/>
          <w:kern w:val="0"/>
          <w:lang w:val="en-GB" w:eastAsia="pt-PT"/>
          <w14:ligatures w14:val="none"/>
        </w:rPr>
        <w:t>Project Development and Strategic Framing</w:t>
      </w:r>
    </w:p>
    <w:p w14:paraId="766F6E3C" w14:textId="27F79A2A" w:rsidR="007B6B62" w:rsidRPr="007B6B62" w:rsidRDefault="007B6B62" w:rsidP="007B6B62">
      <w:pPr>
        <w:jc w:val="both"/>
        <w:rPr>
          <w:rFonts w:eastAsia="Times New Roman" w:cstheme="minorHAnsi"/>
          <w:kern w:val="0"/>
          <w:lang w:val="en-GB" w:eastAsia="pt-PT"/>
          <w14:ligatures w14:val="none"/>
        </w:rPr>
      </w:pPr>
      <w:r w:rsidRPr="007B6B62">
        <w:rPr>
          <w:rFonts w:eastAsia="Times New Roman" w:cstheme="minorHAnsi"/>
          <w:kern w:val="0"/>
          <w:lang w:val="en-GB" w:eastAsia="pt-PT"/>
          <w14:ligatures w14:val="none"/>
        </w:rPr>
        <w:t xml:space="preserve">Dr. Nuno Boavida, Project Expert, presented the development of the </w:t>
      </w:r>
      <w:proofErr w:type="spellStart"/>
      <w:r w:rsidRPr="007B6B62">
        <w:rPr>
          <w:rFonts w:eastAsia="Times New Roman" w:cstheme="minorHAnsi"/>
          <w:kern w:val="0"/>
          <w:lang w:val="en-GB" w:eastAsia="pt-PT"/>
          <w14:ligatures w14:val="none"/>
        </w:rPr>
        <w:t>iMET</w:t>
      </w:r>
      <w:proofErr w:type="spellEnd"/>
      <w:r w:rsidRPr="007B6B62">
        <w:rPr>
          <w:rFonts w:eastAsia="Times New Roman" w:cstheme="minorHAnsi"/>
          <w:kern w:val="0"/>
          <w:lang w:val="en-GB" w:eastAsia="pt-PT"/>
          <w14:ligatures w14:val="none"/>
        </w:rPr>
        <w:t xml:space="preserve"> Project</w:t>
      </w:r>
      <w:r>
        <w:rPr>
          <w:rFonts w:eastAsia="Times New Roman" w:cstheme="minorHAnsi"/>
          <w:kern w:val="0"/>
          <w:lang w:val="en-GB" w:eastAsia="pt-PT"/>
          <w14:ligatures w14:val="none"/>
        </w:rPr>
        <w:t xml:space="preserve"> </w:t>
      </w:r>
      <w:r w:rsidR="003B205D">
        <w:rPr>
          <w:rFonts w:eastAsia="Times New Roman" w:cstheme="minorHAnsi"/>
          <w:kern w:val="0"/>
          <w:lang w:val="en-GB" w:eastAsia="pt-PT"/>
          <w14:ligatures w14:val="none"/>
        </w:rPr>
        <w:t>at</w:t>
      </w:r>
      <w:r>
        <w:rPr>
          <w:rFonts w:eastAsia="Times New Roman" w:cstheme="minorHAnsi"/>
          <w:kern w:val="0"/>
          <w:lang w:val="en-GB" w:eastAsia="pt-PT"/>
          <w14:ligatures w14:val="none"/>
        </w:rPr>
        <w:t xml:space="preserve"> this conference</w:t>
      </w:r>
      <w:r w:rsidRPr="007B6B62">
        <w:rPr>
          <w:rFonts w:eastAsia="Times New Roman" w:cstheme="minorHAnsi"/>
          <w:kern w:val="0"/>
          <w:lang w:val="en-GB" w:eastAsia="pt-PT"/>
          <w14:ligatures w14:val="none"/>
        </w:rPr>
        <w:t xml:space="preserve">. The intervention recapitulated previous project phases and underscored the importance of providing tools for capacity building, notably </w:t>
      </w:r>
      <w:r w:rsidR="003B205D">
        <w:rPr>
          <w:rFonts w:eastAsia="Times New Roman" w:cstheme="minorHAnsi"/>
          <w:kern w:val="0"/>
          <w:lang w:val="en-GB" w:eastAsia="pt-PT"/>
          <w14:ligatures w14:val="none"/>
        </w:rPr>
        <w:t>by elaborating</w:t>
      </w:r>
      <w:r w:rsidRPr="007B6B62">
        <w:rPr>
          <w:rFonts w:eastAsia="Times New Roman" w:cstheme="minorHAnsi"/>
          <w:kern w:val="0"/>
          <w:lang w:val="en-GB" w:eastAsia="pt-PT"/>
          <w14:ligatures w14:val="none"/>
        </w:rPr>
        <w:t xml:space="preserve"> e-manuals and national workshops. It emphasized AI's dual nature—as a driver of efficiency and a source of potential deskilling—and the necessity of evidence-based responses through collective bargaining frameworks.</w:t>
      </w:r>
    </w:p>
    <w:p w14:paraId="2BE4FDAB" w14:textId="77777777" w:rsidR="007B6B62" w:rsidRPr="007B6B62" w:rsidRDefault="007B6B62" w:rsidP="007B6B62">
      <w:pPr>
        <w:jc w:val="both"/>
        <w:rPr>
          <w:rFonts w:eastAsia="Times New Roman" w:cstheme="minorHAnsi"/>
          <w:b/>
          <w:bCs/>
          <w:kern w:val="0"/>
          <w:lang w:val="en-GB" w:eastAsia="pt-PT"/>
          <w14:ligatures w14:val="none"/>
        </w:rPr>
      </w:pPr>
      <w:proofErr w:type="spellStart"/>
      <w:r w:rsidRPr="007B6B62">
        <w:rPr>
          <w:rFonts w:eastAsia="Times New Roman" w:cstheme="minorHAnsi"/>
          <w:b/>
          <w:bCs/>
          <w:kern w:val="0"/>
          <w:lang w:val="en-GB" w:eastAsia="pt-PT"/>
          <w14:ligatures w14:val="none"/>
        </w:rPr>
        <w:t>IndustriAll</w:t>
      </w:r>
      <w:proofErr w:type="spellEnd"/>
      <w:r w:rsidRPr="007B6B62">
        <w:rPr>
          <w:rFonts w:eastAsia="Times New Roman" w:cstheme="minorHAnsi"/>
          <w:b/>
          <w:bCs/>
          <w:kern w:val="0"/>
          <w:lang w:val="en-GB" w:eastAsia="pt-PT"/>
          <w14:ligatures w14:val="none"/>
        </w:rPr>
        <w:t xml:space="preserve"> Europe Presentation</w:t>
      </w:r>
    </w:p>
    <w:p w14:paraId="0AE444FE" w14:textId="0A4A6A1B" w:rsidR="007B6B62" w:rsidRPr="007B6B62" w:rsidRDefault="007B6B62" w:rsidP="007B6B62">
      <w:pPr>
        <w:jc w:val="both"/>
        <w:rPr>
          <w:rFonts w:eastAsia="Times New Roman" w:cstheme="minorHAnsi"/>
          <w:kern w:val="0"/>
          <w:lang w:val="en-GB" w:eastAsia="pt-PT"/>
          <w14:ligatures w14:val="none"/>
        </w:rPr>
      </w:pPr>
      <w:r w:rsidRPr="007B6B62">
        <w:rPr>
          <w:rFonts w:eastAsia="Times New Roman" w:cstheme="minorHAnsi"/>
          <w:kern w:val="0"/>
          <w:lang w:val="en-GB" w:eastAsia="pt-PT"/>
          <w14:ligatures w14:val="none"/>
        </w:rPr>
        <w:lastRenderedPageBreak/>
        <w:t xml:space="preserve">Ms. Patricia Velicu (Senior Policy Advisor, </w:t>
      </w:r>
      <w:proofErr w:type="spellStart"/>
      <w:r w:rsidRPr="007B6B62">
        <w:rPr>
          <w:rFonts w:eastAsia="Times New Roman" w:cstheme="minorHAnsi"/>
          <w:kern w:val="0"/>
          <w:lang w:val="en-GB" w:eastAsia="pt-PT"/>
          <w14:ligatures w14:val="none"/>
        </w:rPr>
        <w:t>IndustriAll</w:t>
      </w:r>
      <w:proofErr w:type="spellEnd"/>
      <w:r w:rsidRPr="007B6B62">
        <w:rPr>
          <w:rFonts w:eastAsia="Times New Roman" w:cstheme="minorHAnsi"/>
          <w:kern w:val="0"/>
          <w:lang w:val="en-GB" w:eastAsia="pt-PT"/>
          <w14:ligatures w14:val="none"/>
        </w:rPr>
        <w:t xml:space="preserve"> Europe) articulated a comprehensive approach to integrating AI into industrial relations. She contested the notion of technological determinism, advocating for negotiated and participatory frameworks to manage AI deployment. Her contribution highlighted critical dimensions of a trade union strategy: ensuring transparency, human oversight, equitable training rights</w:t>
      </w:r>
      <w:r w:rsidR="003B205D">
        <w:rPr>
          <w:rFonts w:eastAsia="Times New Roman" w:cstheme="minorHAnsi"/>
          <w:kern w:val="0"/>
          <w:lang w:val="en-GB" w:eastAsia="pt-PT"/>
          <w14:ligatures w14:val="none"/>
        </w:rPr>
        <w:t>,</w:t>
      </w:r>
      <w:r w:rsidRPr="007B6B62">
        <w:rPr>
          <w:rFonts w:eastAsia="Times New Roman" w:cstheme="minorHAnsi"/>
          <w:kern w:val="0"/>
          <w:lang w:val="en-GB" w:eastAsia="pt-PT"/>
          <w14:ligatures w14:val="none"/>
        </w:rPr>
        <w:t xml:space="preserve"> and the incorporation of data protection principles aligned with GDPR and the European AI Act. Examples from Austria, Germany, Spain and the UK demonstrated practical applications of such strategies through collective agreements. Ms. Velicu reiterated the call for a legal initiative targeting algorithmic management at the workplace.</w:t>
      </w:r>
    </w:p>
    <w:p w14:paraId="72377CC4" w14:textId="77777777" w:rsidR="007B6B62" w:rsidRPr="007B6B62" w:rsidRDefault="007B6B62" w:rsidP="007B6B62">
      <w:pPr>
        <w:jc w:val="both"/>
        <w:rPr>
          <w:rFonts w:eastAsia="Times New Roman" w:cstheme="minorHAnsi"/>
          <w:b/>
          <w:bCs/>
          <w:kern w:val="0"/>
          <w:lang w:val="en-GB" w:eastAsia="pt-PT"/>
          <w14:ligatures w14:val="none"/>
        </w:rPr>
      </w:pPr>
      <w:r w:rsidRPr="007B6B62">
        <w:rPr>
          <w:rFonts w:eastAsia="Times New Roman" w:cstheme="minorHAnsi"/>
          <w:b/>
          <w:bCs/>
          <w:kern w:val="0"/>
          <w:lang w:val="en-GB" w:eastAsia="pt-PT"/>
          <w14:ligatures w14:val="none"/>
        </w:rPr>
        <w:t>CEEMET Presentation</w:t>
      </w:r>
    </w:p>
    <w:p w14:paraId="55BA69C2" w14:textId="274D8104" w:rsidR="007B6B62" w:rsidRDefault="007B6B62" w:rsidP="007B6B62">
      <w:pPr>
        <w:jc w:val="both"/>
        <w:rPr>
          <w:rFonts w:eastAsia="Times New Roman" w:cstheme="minorHAnsi"/>
          <w:kern w:val="0"/>
          <w:lang w:val="en-GB" w:eastAsia="pt-PT"/>
          <w14:ligatures w14:val="none"/>
        </w:rPr>
      </w:pPr>
      <w:r w:rsidRPr="007B6B62">
        <w:rPr>
          <w:rFonts w:eastAsia="Times New Roman" w:cstheme="minorHAnsi"/>
          <w:kern w:val="0"/>
          <w:lang w:val="en-GB" w:eastAsia="pt-PT"/>
          <w14:ligatures w14:val="none"/>
        </w:rPr>
        <w:t xml:space="preserve">CEEMET representative </w:t>
      </w:r>
      <w:r>
        <w:rPr>
          <w:rFonts w:eastAsia="Times New Roman" w:cstheme="minorHAnsi"/>
          <w:kern w:val="0"/>
          <w:lang w:val="en-GB" w:eastAsia="pt-PT"/>
          <w14:ligatures w14:val="none"/>
        </w:rPr>
        <w:t xml:space="preserve">Ms. Pauline Dubois </w:t>
      </w:r>
      <w:r w:rsidRPr="007B6B62">
        <w:rPr>
          <w:rFonts w:eastAsia="Times New Roman" w:cstheme="minorHAnsi"/>
          <w:kern w:val="0"/>
          <w:lang w:val="en-GB" w:eastAsia="pt-PT"/>
          <w14:ligatures w14:val="none"/>
        </w:rPr>
        <w:t xml:space="preserve">delivered a complementary perspective reflecting employers' </w:t>
      </w:r>
      <w:r>
        <w:rPr>
          <w:rFonts w:eastAsia="Times New Roman" w:cstheme="minorHAnsi"/>
          <w:kern w:val="0"/>
          <w:lang w:val="en-GB" w:eastAsia="pt-PT"/>
          <w14:ligatures w14:val="none"/>
        </w:rPr>
        <w:t>points of view</w:t>
      </w:r>
      <w:r w:rsidRPr="007B6B62">
        <w:rPr>
          <w:rFonts w:eastAsia="Times New Roman" w:cstheme="minorHAnsi"/>
          <w:kern w:val="0"/>
          <w:lang w:val="en-GB" w:eastAsia="pt-PT"/>
          <w14:ligatures w14:val="none"/>
        </w:rPr>
        <w:t>. The intervention reinforced the importance of social dialogue for ethical and effective AI governance. Employers acknowledged both opportunities (e.g.</w:t>
      </w:r>
      <w:r w:rsidR="003B205D">
        <w:rPr>
          <w:rFonts w:eastAsia="Times New Roman" w:cstheme="minorHAnsi"/>
          <w:kern w:val="0"/>
          <w:lang w:val="en-GB" w:eastAsia="pt-PT"/>
          <w14:ligatures w14:val="none"/>
        </w:rPr>
        <w:t>,</w:t>
      </w:r>
      <w:r w:rsidRPr="007B6B62">
        <w:rPr>
          <w:rFonts w:eastAsia="Times New Roman" w:cstheme="minorHAnsi"/>
          <w:kern w:val="0"/>
          <w:lang w:val="en-GB" w:eastAsia="pt-PT"/>
          <w14:ligatures w14:val="none"/>
        </w:rPr>
        <w:t xml:space="preserve"> replacing monotonous tasks, enhancing workplace well-being) and challenges (e.g. workforce reskilling and data governance). Emphasis was placed on the need for manuals to present balanced content based on peer-reviewed scientific literature</w:t>
      </w:r>
      <w:r w:rsidR="00D03BFC">
        <w:rPr>
          <w:rFonts w:eastAsia="Times New Roman" w:cstheme="minorHAnsi"/>
          <w:kern w:val="0"/>
          <w:lang w:val="en-GB" w:eastAsia="pt-PT"/>
          <w14:ligatures w14:val="none"/>
        </w:rPr>
        <w:t xml:space="preserve"> and </w:t>
      </w:r>
      <w:r w:rsidRPr="007B6B62">
        <w:rPr>
          <w:rFonts w:eastAsia="Times New Roman" w:cstheme="minorHAnsi"/>
          <w:kern w:val="0"/>
          <w:lang w:val="en-GB" w:eastAsia="pt-PT"/>
          <w14:ligatures w14:val="none"/>
        </w:rPr>
        <w:t xml:space="preserve">European MET sector examples. CEEMET proposed improvements to the e-manuals to ensure the language remains neutral and the recommendations are mutually acceptable </w:t>
      </w:r>
      <w:r w:rsidR="003B205D">
        <w:rPr>
          <w:rFonts w:eastAsia="Times New Roman" w:cstheme="minorHAnsi"/>
          <w:kern w:val="0"/>
          <w:lang w:val="en-GB" w:eastAsia="pt-PT"/>
          <w14:ligatures w14:val="none"/>
        </w:rPr>
        <w:t>to</w:t>
      </w:r>
      <w:r w:rsidRPr="007B6B62">
        <w:rPr>
          <w:rFonts w:eastAsia="Times New Roman" w:cstheme="minorHAnsi"/>
          <w:kern w:val="0"/>
          <w:lang w:val="en-GB" w:eastAsia="pt-PT"/>
          <w14:ligatures w14:val="none"/>
        </w:rPr>
        <w:t xml:space="preserve"> both social partners.</w:t>
      </w:r>
    </w:p>
    <w:p w14:paraId="3BD57C93" w14:textId="77777777" w:rsidR="00873323" w:rsidRDefault="00873323" w:rsidP="007B6B62">
      <w:pPr>
        <w:jc w:val="both"/>
        <w:rPr>
          <w:rFonts w:eastAsia="Times New Roman" w:cstheme="minorHAnsi"/>
          <w:kern w:val="0"/>
          <w:lang w:val="en-GB" w:eastAsia="pt-PT"/>
          <w14:ligatures w14:val="none"/>
        </w:rPr>
      </w:pPr>
    </w:p>
    <w:p w14:paraId="3C867566" w14:textId="77777777" w:rsidR="00873323" w:rsidRPr="007B6B62" w:rsidRDefault="00873323" w:rsidP="007B6B62">
      <w:pPr>
        <w:jc w:val="both"/>
        <w:rPr>
          <w:rFonts w:eastAsia="Times New Roman" w:cstheme="minorHAnsi"/>
          <w:kern w:val="0"/>
          <w:lang w:val="en-GB" w:eastAsia="pt-PT"/>
          <w14:ligatures w14:val="none"/>
        </w:rPr>
      </w:pPr>
    </w:p>
    <w:p w14:paraId="6B78095F" w14:textId="77777777" w:rsidR="007B6B62" w:rsidRPr="007B6B62" w:rsidRDefault="007B6B62" w:rsidP="007B6B62">
      <w:pPr>
        <w:jc w:val="both"/>
        <w:rPr>
          <w:rFonts w:eastAsia="Times New Roman" w:cstheme="minorHAnsi"/>
          <w:b/>
          <w:bCs/>
          <w:kern w:val="0"/>
          <w:lang w:val="en-GB" w:eastAsia="pt-PT"/>
          <w14:ligatures w14:val="none"/>
        </w:rPr>
      </w:pPr>
      <w:r w:rsidRPr="007B6B62">
        <w:rPr>
          <w:rFonts w:eastAsia="Times New Roman" w:cstheme="minorHAnsi"/>
          <w:b/>
          <w:bCs/>
          <w:kern w:val="0"/>
          <w:lang w:val="en-GB" w:eastAsia="pt-PT"/>
          <w14:ligatures w14:val="none"/>
        </w:rPr>
        <w:lastRenderedPageBreak/>
        <w:t>Open Discussion</w:t>
      </w:r>
    </w:p>
    <w:p w14:paraId="770C6FCE" w14:textId="77777777" w:rsidR="007B6B62" w:rsidRPr="007B6B62" w:rsidRDefault="007B6B62" w:rsidP="007B6B62">
      <w:pPr>
        <w:jc w:val="both"/>
        <w:rPr>
          <w:rFonts w:eastAsia="Times New Roman" w:cstheme="minorHAnsi"/>
          <w:kern w:val="0"/>
          <w:lang w:val="en-GB" w:eastAsia="pt-PT"/>
          <w14:ligatures w14:val="none"/>
        </w:rPr>
      </w:pPr>
      <w:r w:rsidRPr="007B6B62">
        <w:rPr>
          <w:rFonts w:eastAsia="Times New Roman" w:cstheme="minorHAnsi"/>
          <w:kern w:val="0"/>
          <w:lang w:val="en-GB" w:eastAsia="pt-PT"/>
          <w14:ligatures w14:val="none"/>
        </w:rPr>
        <w:t>The day's final session, moderated by Dr. Nuno Boavida, facilitated an open exchange among all partners. Discussions revolved around strategic convergence and divergence regarding the integration of AI in workplace governance. Key discussion points included:</w:t>
      </w:r>
    </w:p>
    <w:p w14:paraId="332A1A10" w14:textId="77777777" w:rsidR="007B6B62" w:rsidRPr="00D03BFC" w:rsidRDefault="007B6B62" w:rsidP="00D03BFC">
      <w:pPr>
        <w:pStyle w:val="ListParagraph"/>
        <w:numPr>
          <w:ilvl w:val="0"/>
          <w:numId w:val="4"/>
        </w:numPr>
        <w:jc w:val="both"/>
        <w:rPr>
          <w:rFonts w:eastAsia="Times New Roman" w:cstheme="minorHAnsi"/>
          <w:kern w:val="0"/>
          <w:lang w:val="en-GB" w:eastAsia="pt-PT"/>
          <w14:ligatures w14:val="none"/>
        </w:rPr>
      </w:pPr>
      <w:r w:rsidRPr="00D03BFC">
        <w:rPr>
          <w:rFonts w:eastAsia="Times New Roman" w:cstheme="minorHAnsi"/>
          <w:kern w:val="0"/>
          <w:lang w:val="en-GB" w:eastAsia="pt-PT"/>
          <w14:ligatures w14:val="none"/>
        </w:rPr>
        <w:t>The essential role of lifelong learning and digital skills acquisition</w:t>
      </w:r>
    </w:p>
    <w:p w14:paraId="7136A4C3" w14:textId="77777777" w:rsidR="007B6B62" w:rsidRPr="00D03BFC" w:rsidRDefault="007B6B62" w:rsidP="00D03BFC">
      <w:pPr>
        <w:pStyle w:val="ListParagraph"/>
        <w:numPr>
          <w:ilvl w:val="0"/>
          <w:numId w:val="4"/>
        </w:numPr>
        <w:jc w:val="both"/>
        <w:rPr>
          <w:rFonts w:eastAsia="Times New Roman" w:cstheme="minorHAnsi"/>
          <w:kern w:val="0"/>
          <w:lang w:val="en-GB" w:eastAsia="pt-PT"/>
          <w14:ligatures w14:val="none"/>
        </w:rPr>
      </w:pPr>
      <w:r w:rsidRPr="00D03BFC">
        <w:rPr>
          <w:rFonts w:eastAsia="Times New Roman" w:cstheme="minorHAnsi"/>
          <w:kern w:val="0"/>
          <w:lang w:val="en-GB" w:eastAsia="pt-PT"/>
          <w14:ligatures w14:val="none"/>
        </w:rPr>
        <w:t>Alignment of manuals with both trade union and employer expectations</w:t>
      </w:r>
    </w:p>
    <w:p w14:paraId="585BBB95" w14:textId="77777777" w:rsidR="007B6B62" w:rsidRPr="00D03BFC" w:rsidRDefault="007B6B62" w:rsidP="00D03BFC">
      <w:pPr>
        <w:pStyle w:val="ListParagraph"/>
        <w:numPr>
          <w:ilvl w:val="0"/>
          <w:numId w:val="4"/>
        </w:numPr>
        <w:jc w:val="both"/>
        <w:rPr>
          <w:rFonts w:eastAsia="Times New Roman" w:cstheme="minorHAnsi"/>
          <w:kern w:val="0"/>
          <w:lang w:val="en-GB" w:eastAsia="pt-PT"/>
          <w14:ligatures w14:val="none"/>
        </w:rPr>
      </w:pPr>
      <w:r w:rsidRPr="00D03BFC">
        <w:rPr>
          <w:rFonts w:eastAsia="Times New Roman" w:cstheme="minorHAnsi"/>
          <w:kern w:val="0"/>
          <w:lang w:val="en-GB" w:eastAsia="pt-PT"/>
          <w14:ligatures w14:val="none"/>
        </w:rPr>
        <w:t>Strengthening joint ownership of project outputs</w:t>
      </w:r>
    </w:p>
    <w:p w14:paraId="52382ECD" w14:textId="77777777" w:rsidR="007B6B62" w:rsidRPr="00D03BFC" w:rsidRDefault="007B6B62" w:rsidP="00D03BFC">
      <w:pPr>
        <w:pStyle w:val="ListParagraph"/>
        <w:numPr>
          <w:ilvl w:val="0"/>
          <w:numId w:val="4"/>
        </w:numPr>
        <w:jc w:val="both"/>
        <w:rPr>
          <w:rFonts w:eastAsia="Times New Roman" w:cstheme="minorHAnsi"/>
          <w:kern w:val="0"/>
          <w:lang w:val="en-GB" w:eastAsia="pt-PT"/>
          <w14:ligatures w14:val="none"/>
        </w:rPr>
      </w:pPr>
      <w:r w:rsidRPr="00D03BFC">
        <w:rPr>
          <w:rFonts w:eastAsia="Times New Roman" w:cstheme="minorHAnsi"/>
          <w:kern w:val="0"/>
          <w:lang w:val="en-GB" w:eastAsia="pt-PT"/>
          <w14:ligatures w14:val="none"/>
        </w:rPr>
        <w:t>Implementation strategies for risk assessment and algorithmic transparency</w:t>
      </w:r>
    </w:p>
    <w:p w14:paraId="506848FC" w14:textId="2E1C37D0" w:rsidR="007B6B62" w:rsidRPr="00D03BFC" w:rsidRDefault="007B6B62" w:rsidP="00D03BFC">
      <w:pPr>
        <w:pStyle w:val="ListParagraph"/>
        <w:numPr>
          <w:ilvl w:val="0"/>
          <w:numId w:val="4"/>
        </w:numPr>
        <w:jc w:val="both"/>
        <w:rPr>
          <w:rFonts w:eastAsia="Times New Roman" w:cstheme="minorHAnsi"/>
          <w:kern w:val="0"/>
          <w:lang w:val="en-GB" w:eastAsia="pt-PT"/>
          <w14:ligatures w14:val="none"/>
        </w:rPr>
      </w:pPr>
      <w:r w:rsidRPr="00D03BFC">
        <w:rPr>
          <w:rFonts w:eastAsia="Times New Roman" w:cstheme="minorHAnsi"/>
          <w:kern w:val="0"/>
          <w:lang w:val="en-GB" w:eastAsia="pt-PT"/>
          <w14:ligatures w14:val="none"/>
        </w:rPr>
        <w:t>Recommendations included: enhancing the participatory role of social partners in algorithm design, institutionalizing regular consultations on AI-related workplace changes and developing sector-specific guidelines for data protection and AI-driven decision-making.</w:t>
      </w:r>
    </w:p>
    <w:p w14:paraId="1407A7B0" w14:textId="77777777" w:rsidR="00D03BFC" w:rsidRDefault="00D03BFC" w:rsidP="007B6B62">
      <w:pPr>
        <w:jc w:val="both"/>
        <w:rPr>
          <w:rFonts w:eastAsia="Times New Roman" w:cstheme="minorHAnsi"/>
          <w:b/>
          <w:bCs/>
          <w:kern w:val="0"/>
          <w:lang w:val="en-GB" w:eastAsia="pt-PT"/>
          <w14:ligatures w14:val="none"/>
        </w:rPr>
      </w:pPr>
    </w:p>
    <w:p w14:paraId="59421CB3" w14:textId="0FFF4D0E" w:rsidR="007B6B62" w:rsidRPr="007B6B62" w:rsidRDefault="007B6B62" w:rsidP="007B6B62">
      <w:pPr>
        <w:jc w:val="both"/>
        <w:rPr>
          <w:rFonts w:eastAsia="Times New Roman" w:cstheme="minorHAnsi"/>
          <w:kern w:val="0"/>
          <w:lang w:val="en-GB" w:eastAsia="pt-PT"/>
          <w14:ligatures w14:val="none"/>
        </w:rPr>
      </w:pPr>
      <w:r w:rsidRPr="007B6B62">
        <w:rPr>
          <w:rFonts w:eastAsia="Times New Roman" w:cstheme="minorHAnsi"/>
          <w:b/>
          <w:bCs/>
          <w:kern w:val="0"/>
          <w:lang w:val="en-GB" w:eastAsia="pt-PT"/>
          <w14:ligatures w14:val="none"/>
        </w:rPr>
        <w:t>Day 2: 8</w:t>
      </w:r>
      <w:r w:rsidR="003B205D" w:rsidRPr="003B205D">
        <w:rPr>
          <w:rFonts w:eastAsia="Times New Roman" w:cstheme="minorHAnsi"/>
          <w:b/>
          <w:bCs/>
          <w:kern w:val="0"/>
          <w:vertAlign w:val="superscript"/>
          <w:lang w:val="en-GB" w:eastAsia="pt-PT"/>
          <w14:ligatures w14:val="none"/>
        </w:rPr>
        <w:t>th</w:t>
      </w:r>
      <w:r w:rsidR="003B205D">
        <w:rPr>
          <w:rFonts w:eastAsia="Times New Roman" w:cstheme="minorHAnsi"/>
          <w:b/>
          <w:bCs/>
          <w:kern w:val="0"/>
          <w:lang w:val="en-GB" w:eastAsia="pt-PT"/>
          <w14:ligatures w14:val="none"/>
        </w:rPr>
        <w:t xml:space="preserve"> </w:t>
      </w:r>
      <w:r w:rsidRPr="007B6B62">
        <w:rPr>
          <w:rFonts w:eastAsia="Times New Roman" w:cstheme="minorHAnsi"/>
          <w:b/>
          <w:bCs/>
          <w:kern w:val="0"/>
          <w:lang w:val="en-GB" w:eastAsia="pt-PT"/>
          <w14:ligatures w14:val="none"/>
        </w:rPr>
        <w:t>May 2025</w:t>
      </w:r>
    </w:p>
    <w:p w14:paraId="5853F6FD" w14:textId="77777777" w:rsidR="007B6B62" w:rsidRPr="007B6B62" w:rsidRDefault="007B6B62" w:rsidP="007B6B62">
      <w:pPr>
        <w:jc w:val="both"/>
        <w:rPr>
          <w:rFonts w:eastAsia="Times New Roman" w:cstheme="minorHAnsi"/>
          <w:b/>
          <w:bCs/>
          <w:kern w:val="0"/>
          <w:lang w:val="en-GB" w:eastAsia="pt-PT"/>
          <w14:ligatures w14:val="none"/>
        </w:rPr>
      </w:pPr>
      <w:r w:rsidRPr="007B6B62">
        <w:rPr>
          <w:rFonts w:eastAsia="Times New Roman" w:cstheme="minorHAnsi"/>
          <w:b/>
          <w:bCs/>
          <w:kern w:val="0"/>
          <w:lang w:val="en-GB" w:eastAsia="pt-PT"/>
          <w14:ligatures w14:val="none"/>
        </w:rPr>
        <w:t>Strategic Outlook and Next Steps</w:t>
      </w:r>
    </w:p>
    <w:p w14:paraId="28371A55" w14:textId="5420B83F" w:rsidR="007B6B62" w:rsidRPr="007B6B62" w:rsidRDefault="007B6B62" w:rsidP="007B6B62">
      <w:pPr>
        <w:jc w:val="both"/>
        <w:rPr>
          <w:rFonts w:eastAsia="Times New Roman" w:cstheme="minorHAnsi"/>
          <w:kern w:val="0"/>
          <w:lang w:val="en-GB" w:eastAsia="pt-PT"/>
          <w14:ligatures w14:val="none"/>
        </w:rPr>
      </w:pPr>
      <w:r w:rsidRPr="007B6B62">
        <w:rPr>
          <w:rFonts w:eastAsia="Times New Roman" w:cstheme="minorHAnsi"/>
          <w:kern w:val="0"/>
          <w:lang w:val="en-GB" w:eastAsia="pt-PT"/>
          <w14:ligatures w14:val="none"/>
        </w:rPr>
        <w:t xml:space="preserve">The second day began with a presentation by Dr. Nuno Boavida outlining upcoming activities of the </w:t>
      </w:r>
      <w:proofErr w:type="spellStart"/>
      <w:r w:rsidRPr="007B6B62">
        <w:rPr>
          <w:rFonts w:eastAsia="Times New Roman" w:cstheme="minorHAnsi"/>
          <w:kern w:val="0"/>
          <w:lang w:val="en-GB" w:eastAsia="pt-PT"/>
          <w14:ligatures w14:val="none"/>
        </w:rPr>
        <w:t>iMET</w:t>
      </w:r>
      <w:proofErr w:type="spellEnd"/>
      <w:r w:rsidRPr="007B6B62">
        <w:rPr>
          <w:rFonts w:eastAsia="Times New Roman" w:cstheme="minorHAnsi"/>
          <w:kern w:val="0"/>
          <w:lang w:val="en-GB" w:eastAsia="pt-PT"/>
          <w14:ligatures w14:val="none"/>
        </w:rPr>
        <w:t xml:space="preserve"> Project. These include a series of 32 national workshops, the refinement of e-manuals, the development of infographics and the production of a </w:t>
      </w:r>
      <w:r w:rsidR="009F1225">
        <w:rPr>
          <w:rFonts w:eastAsia="Times New Roman" w:cstheme="minorHAnsi"/>
          <w:kern w:val="0"/>
          <w:lang w:val="en-GB" w:eastAsia="pt-PT"/>
          <w14:ligatures w14:val="none"/>
        </w:rPr>
        <w:t xml:space="preserve">short </w:t>
      </w:r>
      <w:r w:rsidRPr="007B6B62">
        <w:rPr>
          <w:rFonts w:eastAsia="Times New Roman" w:cstheme="minorHAnsi"/>
          <w:kern w:val="0"/>
          <w:lang w:val="en-GB" w:eastAsia="pt-PT"/>
          <w14:ligatures w14:val="none"/>
        </w:rPr>
        <w:t xml:space="preserve">multilingual summary video for </w:t>
      </w:r>
      <w:r w:rsidRPr="007B6B62">
        <w:rPr>
          <w:rFonts w:eastAsia="Times New Roman" w:cstheme="minorHAnsi"/>
          <w:kern w:val="0"/>
          <w:lang w:val="en-GB" w:eastAsia="pt-PT"/>
          <w14:ligatures w14:val="none"/>
        </w:rPr>
        <w:lastRenderedPageBreak/>
        <w:t>dissemination</w:t>
      </w:r>
      <w:r w:rsidR="009F1225">
        <w:rPr>
          <w:rFonts w:eastAsia="Times New Roman" w:cstheme="minorHAnsi"/>
          <w:kern w:val="0"/>
          <w:lang w:val="en-GB" w:eastAsia="pt-PT"/>
          <w14:ligatures w14:val="none"/>
        </w:rPr>
        <w:t xml:space="preserve">. </w:t>
      </w:r>
      <w:r w:rsidRPr="007B6B62">
        <w:rPr>
          <w:rFonts w:eastAsia="Times New Roman" w:cstheme="minorHAnsi"/>
          <w:kern w:val="0"/>
          <w:lang w:val="en-GB" w:eastAsia="pt-PT"/>
          <w14:ligatures w14:val="none"/>
        </w:rPr>
        <w:t>These initiatives aim to consolidate the project's pedagogical materials and broaden stakeholder engagement.</w:t>
      </w:r>
    </w:p>
    <w:p w14:paraId="64FA0139" w14:textId="77777777" w:rsidR="007B6B62" w:rsidRPr="007B6B62" w:rsidRDefault="007B6B62" w:rsidP="007B6B62">
      <w:pPr>
        <w:jc w:val="both"/>
        <w:rPr>
          <w:rFonts w:eastAsia="Times New Roman" w:cstheme="minorHAnsi"/>
          <w:b/>
          <w:bCs/>
          <w:kern w:val="0"/>
          <w:lang w:val="en-GB" w:eastAsia="pt-PT"/>
          <w14:ligatures w14:val="none"/>
        </w:rPr>
      </w:pPr>
      <w:r w:rsidRPr="007B6B62">
        <w:rPr>
          <w:rFonts w:eastAsia="Times New Roman" w:cstheme="minorHAnsi"/>
          <w:b/>
          <w:bCs/>
          <w:kern w:val="0"/>
          <w:lang w:val="en-GB" w:eastAsia="pt-PT"/>
          <w14:ligatures w14:val="none"/>
        </w:rPr>
        <w:t>Thematic Panels</w:t>
      </w:r>
    </w:p>
    <w:p w14:paraId="660DD972" w14:textId="77777777" w:rsidR="007B6B62" w:rsidRPr="007B6B62" w:rsidRDefault="007B6B62" w:rsidP="007B6B62">
      <w:pPr>
        <w:jc w:val="both"/>
        <w:rPr>
          <w:rFonts w:eastAsia="Times New Roman" w:cstheme="minorHAnsi"/>
          <w:kern w:val="0"/>
          <w:lang w:val="en-GB" w:eastAsia="pt-PT"/>
          <w14:ligatures w14:val="none"/>
        </w:rPr>
      </w:pPr>
      <w:r w:rsidRPr="007B6B62">
        <w:rPr>
          <w:rFonts w:eastAsia="Times New Roman" w:cstheme="minorHAnsi"/>
          <w:kern w:val="0"/>
          <w:lang w:val="en-GB" w:eastAsia="pt-PT"/>
          <w14:ligatures w14:val="none"/>
        </w:rPr>
        <w:t>Subsequent panels provided space for differentiated viewpoints from employer and trade union representatives.</w:t>
      </w:r>
    </w:p>
    <w:p w14:paraId="3C5BE047" w14:textId="503BC14A" w:rsidR="007B6B62" w:rsidRPr="007B6B62" w:rsidRDefault="007B6B62" w:rsidP="007B6B62">
      <w:pPr>
        <w:jc w:val="both"/>
        <w:rPr>
          <w:rFonts w:eastAsia="Times New Roman" w:cstheme="minorHAnsi"/>
          <w:kern w:val="0"/>
          <w:lang w:val="en-GB" w:eastAsia="pt-PT"/>
          <w14:ligatures w14:val="none"/>
        </w:rPr>
      </w:pPr>
      <w:r w:rsidRPr="007B6B62">
        <w:rPr>
          <w:rFonts w:eastAsia="Times New Roman" w:cstheme="minorHAnsi"/>
          <w:b/>
          <w:bCs/>
          <w:kern w:val="0"/>
          <w:lang w:val="en-GB" w:eastAsia="pt-PT"/>
          <w14:ligatures w14:val="none"/>
        </w:rPr>
        <w:t>Employer Perspectives on AI in Social Dialogue</w:t>
      </w:r>
      <w:r w:rsidRPr="007B6B62">
        <w:rPr>
          <w:rFonts w:eastAsia="Times New Roman" w:cstheme="minorHAnsi"/>
          <w:kern w:val="0"/>
          <w:lang w:val="en-GB" w:eastAsia="pt-PT"/>
          <w14:ligatures w14:val="none"/>
        </w:rPr>
        <w:t xml:space="preserve"> emphasized competitiveness, adaptability</w:t>
      </w:r>
      <w:r w:rsidR="003B205D">
        <w:rPr>
          <w:rFonts w:eastAsia="Times New Roman" w:cstheme="minorHAnsi"/>
          <w:kern w:val="0"/>
          <w:lang w:val="en-GB" w:eastAsia="pt-PT"/>
          <w14:ligatures w14:val="none"/>
        </w:rPr>
        <w:t>,</w:t>
      </w:r>
      <w:r w:rsidRPr="007B6B62">
        <w:rPr>
          <w:rFonts w:eastAsia="Times New Roman" w:cstheme="minorHAnsi"/>
          <w:kern w:val="0"/>
          <w:lang w:val="en-GB" w:eastAsia="pt-PT"/>
          <w14:ligatures w14:val="none"/>
        </w:rPr>
        <w:t xml:space="preserve"> and the pragmatic integration of AI in operational settings. Employer representatives reiterated the importance of skills development and proposed concrete mechanisms for institutional learning.</w:t>
      </w:r>
    </w:p>
    <w:p w14:paraId="2BB7D2EB" w14:textId="4A8CF746" w:rsidR="007B6B62" w:rsidRPr="007B6B62" w:rsidRDefault="007B6B62" w:rsidP="007B6B62">
      <w:pPr>
        <w:jc w:val="both"/>
        <w:rPr>
          <w:rFonts w:eastAsia="Times New Roman" w:cstheme="minorHAnsi"/>
          <w:kern w:val="0"/>
          <w:lang w:val="en-GB" w:eastAsia="pt-PT"/>
          <w14:ligatures w14:val="none"/>
        </w:rPr>
      </w:pPr>
      <w:r w:rsidRPr="007B6B62">
        <w:rPr>
          <w:rFonts w:eastAsia="Times New Roman" w:cstheme="minorHAnsi"/>
          <w:b/>
          <w:bCs/>
          <w:kern w:val="0"/>
          <w:lang w:val="en-GB" w:eastAsia="pt-PT"/>
          <w14:ligatures w14:val="none"/>
        </w:rPr>
        <w:t>Trade Union Perspectives</w:t>
      </w:r>
      <w:r w:rsidRPr="007B6B62">
        <w:rPr>
          <w:rFonts w:eastAsia="Times New Roman" w:cstheme="minorHAnsi"/>
          <w:kern w:val="0"/>
          <w:lang w:val="en-GB" w:eastAsia="pt-PT"/>
          <w14:ligatures w14:val="none"/>
        </w:rPr>
        <w:t xml:space="preserve"> focused on safeguarding workers' rights, democratic oversight of algorithmic tools</w:t>
      </w:r>
      <w:r w:rsidR="003B205D">
        <w:rPr>
          <w:rFonts w:eastAsia="Times New Roman" w:cstheme="minorHAnsi"/>
          <w:kern w:val="0"/>
          <w:lang w:val="en-GB" w:eastAsia="pt-PT"/>
          <w14:ligatures w14:val="none"/>
        </w:rPr>
        <w:t>,</w:t>
      </w:r>
      <w:r w:rsidRPr="007B6B62">
        <w:rPr>
          <w:rFonts w:eastAsia="Times New Roman" w:cstheme="minorHAnsi"/>
          <w:kern w:val="0"/>
          <w:lang w:val="en-GB" w:eastAsia="pt-PT"/>
          <w14:ligatures w14:val="none"/>
        </w:rPr>
        <w:t xml:space="preserve"> and the integration of transparency and accountability mechanisms within collective bargaining agreements.</w:t>
      </w:r>
    </w:p>
    <w:p w14:paraId="46235404" w14:textId="77777777" w:rsidR="007B6B62" w:rsidRPr="007B6B62" w:rsidRDefault="007B6B62" w:rsidP="007B6B62">
      <w:pPr>
        <w:jc w:val="both"/>
        <w:rPr>
          <w:rFonts w:eastAsia="Times New Roman" w:cstheme="minorHAnsi"/>
          <w:b/>
          <w:bCs/>
          <w:kern w:val="0"/>
          <w:lang w:val="en-GB" w:eastAsia="pt-PT"/>
          <w14:ligatures w14:val="none"/>
        </w:rPr>
      </w:pPr>
      <w:r w:rsidRPr="007B6B62">
        <w:rPr>
          <w:rFonts w:eastAsia="Times New Roman" w:cstheme="minorHAnsi"/>
          <w:b/>
          <w:bCs/>
          <w:kern w:val="0"/>
          <w:lang w:val="en-GB" w:eastAsia="pt-PT"/>
          <w14:ligatures w14:val="none"/>
        </w:rPr>
        <w:t>Final Discussion and Synthesis</w:t>
      </w:r>
    </w:p>
    <w:p w14:paraId="545B04B4" w14:textId="3C2C1BA5" w:rsidR="007B6B62" w:rsidRPr="007B6B62" w:rsidRDefault="007B6B62" w:rsidP="007B6B62">
      <w:pPr>
        <w:jc w:val="both"/>
        <w:rPr>
          <w:rFonts w:eastAsia="Times New Roman" w:cstheme="minorHAnsi"/>
          <w:kern w:val="0"/>
          <w:lang w:val="en-GB" w:eastAsia="pt-PT"/>
          <w14:ligatures w14:val="none"/>
        </w:rPr>
      </w:pPr>
      <w:r w:rsidRPr="007B6B62">
        <w:rPr>
          <w:rFonts w:eastAsia="Times New Roman" w:cstheme="minorHAnsi"/>
          <w:kern w:val="0"/>
          <w:lang w:val="en-GB" w:eastAsia="pt-PT"/>
          <w14:ligatures w14:val="none"/>
        </w:rPr>
        <w:t>A final open discussion was moderated by Prof. António Moniz</w:t>
      </w:r>
      <w:r w:rsidR="009F1225">
        <w:rPr>
          <w:rFonts w:eastAsia="Times New Roman" w:cstheme="minorHAnsi"/>
          <w:kern w:val="0"/>
          <w:lang w:val="en-GB" w:eastAsia="pt-PT"/>
          <w14:ligatures w14:val="none"/>
        </w:rPr>
        <w:t xml:space="preserve"> from NOVA University of Lisbon</w:t>
      </w:r>
      <w:r w:rsidRPr="007B6B62">
        <w:rPr>
          <w:rFonts w:eastAsia="Times New Roman" w:cstheme="minorHAnsi"/>
          <w:kern w:val="0"/>
          <w:lang w:val="en-GB" w:eastAsia="pt-PT"/>
          <w14:ligatures w14:val="none"/>
        </w:rPr>
        <w:t>. Central to this dialogue were reflections on the readiness of social partners to engage in AI-specific negotiations and the role of social dialogue in mitigating inequalities and promoting inclusive technological transitions. Emphasis was placed on:</w:t>
      </w:r>
    </w:p>
    <w:p w14:paraId="42D052C5" w14:textId="77777777" w:rsidR="007B6B62" w:rsidRPr="009F1225" w:rsidRDefault="007B6B62" w:rsidP="009F1225">
      <w:pPr>
        <w:pStyle w:val="ListParagraph"/>
        <w:numPr>
          <w:ilvl w:val="0"/>
          <w:numId w:val="5"/>
        </w:numPr>
        <w:jc w:val="both"/>
        <w:rPr>
          <w:rFonts w:eastAsia="Times New Roman" w:cstheme="minorHAnsi"/>
          <w:kern w:val="0"/>
          <w:lang w:val="en-GB" w:eastAsia="pt-PT"/>
          <w14:ligatures w14:val="none"/>
        </w:rPr>
      </w:pPr>
      <w:r w:rsidRPr="009F1225">
        <w:rPr>
          <w:rFonts w:eastAsia="Times New Roman" w:cstheme="minorHAnsi"/>
          <w:kern w:val="0"/>
          <w:lang w:val="en-GB" w:eastAsia="pt-PT"/>
          <w14:ligatures w14:val="none"/>
        </w:rPr>
        <w:t>The legitimacy of collective bargaining as a means to regulate AI</w:t>
      </w:r>
    </w:p>
    <w:p w14:paraId="4D042030" w14:textId="77777777" w:rsidR="007B6B62" w:rsidRPr="009F1225" w:rsidRDefault="007B6B62" w:rsidP="009F1225">
      <w:pPr>
        <w:pStyle w:val="ListParagraph"/>
        <w:numPr>
          <w:ilvl w:val="0"/>
          <w:numId w:val="5"/>
        </w:numPr>
        <w:jc w:val="both"/>
        <w:rPr>
          <w:rFonts w:eastAsia="Times New Roman" w:cstheme="minorHAnsi"/>
          <w:kern w:val="0"/>
          <w:lang w:val="en-GB" w:eastAsia="pt-PT"/>
          <w14:ligatures w14:val="none"/>
        </w:rPr>
      </w:pPr>
      <w:r w:rsidRPr="009F1225">
        <w:rPr>
          <w:rFonts w:eastAsia="Times New Roman" w:cstheme="minorHAnsi"/>
          <w:kern w:val="0"/>
          <w:lang w:val="en-GB" w:eastAsia="pt-PT"/>
          <w14:ligatures w14:val="none"/>
        </w:rPr>
        <w:t>Institutional trust and capacity-building at national and European levels</w:t>
      </w:r>
    </w:p>
    <w:p w14:paraId="3253BC5D" w14:textId="4AA0F258" w:rsidR="007B6B62" w:rsidRPr="009F1225" w:rsidRDefault="007B6B62" w:rsidP="009F1225">
      <w:pPr>
        <w:pStyle w:val="ListParagraph"/>
        <w:numPr>
          <w:ilvl w:val="0"/>
          <w:numId w:val="5"/>
        </w:numPr>
        <w:jc w:val="both"/>
        <w:rPr>
          <w:rFonts w:eastAsia="Times New Roman" w:cstheme="minorHAnsi"/>
          <w:kern w:val="0"/>
          <w:lang w:val="en-GB" w:eastAsia="pt-PT"/>
          <w14:ligatures w14:val="none"/>
        </w:rPr>
      </w:pPr>
      <w:r w:rsidRPr="009F1225">
        <w:rPr>
          <w:rFonts w:eastAsia="Times New Roman" w:cstheme="minorHAnsi"/>
          <w:kern w:val="0"/>
          <w:lang w:val="en-GB" w:eastAsia="pt-PT"/>
          <w14:ligatures w14:val="none"/>
        </w:rPr>
        <w:lastRenderedPageBreak/>
        <w:t>Shared responsibility for ethical AI use at the workplace</w:t>
      </w:r>
      <w:r w:rsidR="009F1225">
        <w:rPr>
          <w:rFonts w:eastAsia="Times New Roman" w:cstheme="minorHAnsi"/>
          <w:kern w:val="0"/>
          <w:lang w:val="en-GB" w:eastAsia="pt-PT"/>
          <w14:ligatures w14:val="none"/>
        </w:rPr>
        <w:t>.</w:t>
      </w:r>
    </w:p>
    <w:p w14:paraId="516DF6FA" w14:textId="77777777" w:rsidR="007B6B62" w:rsidRPr="007B6B62" w:rsidRDefault="007B6B62" w:rsidP="007B6B62">
      <w:pPr>
        <w:jc w:val="both"/>
        <w:rPr>
          <w:rFonts w:eastAsia="Times New Roman" w:cstheme="minorHAnsi"/>
          <w:b/>
          <w:bCs/>
          <w:kern w:val="0"/>
          <w:lang w:val="en-GB" w:eastAsia="pt-PT"/>
          <w14:ligatures w14:val="none"/>
        </w:rPr>
      </w:pPr>
      <w:r w:rsidRPr="007B6B62">
        <w:rPr>
          <w:rFonts w:eastAsia="Times New Roman" w:cstheme="minorHAnsi"/>
          <w:b/>
          <w:bCs/>
          <w:kern w:val="0"/>
          <w:lang w:val="en-GB" w:eastAsia="pt-PT"/>
          <w14:ligatures w14:val="none"/>
        </w:rPr>
        <w:t>Conclusion</w:t>
      </w:r>
    </w:p>
    <w:p w14:paraId="02A8C1B2" w14:textId="4FA8C195" w:rsidR="007B6B62" w:rsidRPr="007B6B62" w:rsidRDefault="007B6B62" w:rsidP="007B6B62">
      <w:pPr>
        <w:jc w:val="both"/>
        <w:rPr>
          <w:rFonts w:eastAsia="Times New Roman" w:cstheme="minorHAnsi"/>
          <w:kern w:val="0"/>
          <w:lang w:val="en-GB" w:eastAsia="pt-PT"/>
          <w14:ligatures w14:val="none"/>
        </w:rPr>
      </w:pPr>
      <w:r w:rsidRPr="007B6B62">
        <w:rPr>
          <w:rFonts w:eastAsia="Times New Roman" w:cstheme="minorHAnsi"/>
          <w:kern w:val="0"/>
          <w:lang w:val="en-GB" w:eastAsia="pt-PT"/>
          <w14:ligatures w14:val="none"/>
        </w:rPr>
        <w:t xml:space="preserve">The meeting concluded with remarks from Dr. Nuno Boavida, who </w:t>
      </w:r>
      <w:r w:rsidR="003B205D" w:rsidRPr="007B6B62">
        <w:rPr>
          <w:rFonts w:eastAsia="Times New Roman" w:cstheme="minorHAnsi"/>
          <w:kern w:val="0"/>
          <w:lang w:val="en-GB" w:eastAsia="pt-PT"/>
          <w14:ligatures w14:val="none"/>
        </w:rPr>
        <w:t>repeated</w:t>
      </w:r>
      <w:r w:rsidRPr="007B6B62">
        <w:rPr>
          <w:rFonts w:eastAsia="Times New Roman" w:cstheme="minorHAnsi"/>
          <w:kern w:val="0"/>
          <w:lang w:val="en-GB" w:eastAsia="pt-PT"/>
          <w14:ligatures w14:val="none"/>
        </w:rPr>
        <w:t xml:space="preserve"> the significance of the </w:t>
      </w:r>
      <w:proofErr w:type="spellStart"/>
      <w:r w:rsidRPr="007B6B62">
        <w:rPr>
          <w:rFonts w:eastAsia="Times New Roman" w:cstheme="minorHAnsi"/>
          <w:kern w:val="0"/>
          <w:lang w:val="en-GB" w:eastAsia="pt-PT"/>
          <w14:ligatures w14:val="none"/>
        </w:rPr>
        <w:t>iMET</w:t>
      </w:r>
      <w:proofErr w:type="spellEnd"/>
      <w:r w:rsidRPr="007B6B62">
        <w:rPr>
          <w:rFonts w:eastAsia="Times New Roman" w:cstheme="minorHAnsi"/>
          <w:kern w:val="0"/>
          <w:lang w:val="en-GB" w:eastAsia="pt-PT"/>
          <w14:ligatures w14:val="none"/>
        </w:rPr>
        <w:t xml:space="preserve"> Project as a pioneering initiative fostering inclusive and informed dialogue around AI in the MET industries. Participants were encouraged to continue collaborative efforts and maintain momentum toward implementing and disseminating the project’s findings.</w:t>
      </w:r>
    </w:p>
    <w:p w14:paraId="1F1B7A38" w14:textId="2D156CD0" w:rsidR="007B6B62" w:rsidRPr="007B6B62" w:rsidRDefault="007B6B62" w:rsidP="007B6B62">
      <w:pPr>
        <w:jc w:val="both"/>
        <w:rPr>
          <w:rFonts w:eastAsia="Times New Roman" w:cstheme="minorHAnsi"/>
          <w:kern w:val="0"/>
          <w:lang w:val="en-GB" w:eastAsia="pt-PT"/>
          <w14:ligatures w14:val="none"/>
        </w:rPr>
      </w:pPr>
      <w:r w:rsidRPr="007B6B62">
        <w:rPr>
          <w:rFonts w:eastAsia="Times New Roman" w:cstheme="minorHAnsi"/>
          <w:kern w:val="0"/>
          <w:lang w:val="en-GB" w:eastAsia="pt-PT"/>
          <w14:ligatures w14:val="none"/>
        </w:rPr>
        <w:t xml:space="preserve">The conference </w:t>
      </w:r>
      <w:r w:rsidR="009F1225">
        <w:rPr>
          <w:rFonts w:eastAsia="Times New Roman" w:cstheme="minorHAnsi"/>
          <w:kern w:val="0"/>
          <w:lang w:val="en-GB" w:eastAsia="pt-PT"/>
          <w14:ligatures w14:val="none"/>
        </w:rPr>
        <w:t xml:space="preserve">hosts </w:t>
      </w:r>
      <w:r w:rsidR="00873323">
        <w:rPr>
          <w:rFonts w:eastAsia="Times New Roman" w:cstheme="minorHAnsi"/>
          <w:kern w:val="0"/>
          <w:lang w:val="en-GB" w:eastAsia="pt-PT"/>
          <w14:ligatures w14:val="none"/>
        </w:rPr>
        <w:t xml:space="preserve">the SMH-IS project team </w:t>
      </w:r>
      <w:r w:rsidR="00873323" w:rsidRPr="007B6B62">
        <w:rPr>
          <w:rFonts w:eastAsia="Times New Roman" w:cstheme="minorHAnsi"/>
          <w:kern w:val="0"/>
          <w:lang w:val="en-GB" w:eastAsia="pt-PT"/>
          <w14:ligatures w14:val="none"/>
        </w:rPr>
        <w:t>repeated</w:t>
      </w:r>
      <w:r w:rsidRPr="007B6B62">
        <w:rPr>
          <w:rFonts w:eastAsia="Times New Roman" w:cstheme="minorHAnsi"/>
          <w:kern w:val="0"/>
          <w:lang w:val="en-GB" w:eastAsia="pt-PT"/>
          <w14:ligatures w14:val="none"/>
        </w:rPr>
        <w:t xml:space="preserve"> the central role of social dialogue and collective bargaining in shaping the future of work in the age of AI. </w:t>
      </w:r>
      <w:r w:rsidR="009F1225">
        <w:rPr>
          <w:rFonts w:eastAsia="Times New Roman" w:cstheme="minorHAnsi"/>
          <w:kern w:val="0"/>
          <w:lang w:val="en-GB" w:eastAsia="pt-PT"/>
          <w14:ligatures w14:val="none"/>
        </w:rPr>
        <w:t>The conference helped to</w:t>
      </w:r>
      <w:r w:rsidRPr="007B6B62">
        <w:rPr>
          <w:rFonts w:eastAsia="Times New Roman" w:cstheme="minorHAnsi"/>
          <w:kern w:val="0"/>
          <w:lang w:val="en-GB" w:eastAsia="pt-PT"/>
          <w14:ligatures w14:val="none"/>
        </w:rPr>
        <w:t xml:space="preserve"> </w:t>
      </w:r>
      <w:r w:rsidR="00873323">
        <w:rPr>
          <w:rFonts w:eastAsia="Times New Roman" w:cstheme="minorHAnsi"/>
          <w:kern w:val="0"/>
          <w:lang w:val="en-GB" w:eastAsia="pt-PT"/>
          <w14:ligatures w14:val="none"/>
        </w:rPr>
        <w:t>lay</w:t>
      </w:r>
      <w:r w:rsidRPr="007B6B62">
        <w:rPr>
          <w:rFonts w:eastAsia="Times New Roman" w:cstheme="minorHAnsi"/>
          <w:kern w:val="0"/>
          <w:lang w:val="en-GB" w:eastAsia="pt-PT"/>
          <w14:ligatures w14:val="none"/>
        </w:rPr>
        <w:t xml:space="preserve"> the groundwork for the co-construction of governance mechanisms that are fair, transparent</w:t>
      </w:r>
      <w:r w:rsidR="00873323">
        <w:rPr>
          <w:rFonts w:eastAsia="Times New Roman" w:cstheme="minorHAnsi"/>
          <w:kern w:val="0"/>
          <w:lang w:val="en-GB" w:eastAsia="pt-PT"/>
          <w14:ligatures w14:val="none"/>
        </w:rPr>
        <w:t>,</w:t>
      </w:r>
      <w:r w:rsidRPr="007B6B62">
        <w:rPr>
          <w:rFonts w:eastAsia="Times New Roman" w:cstheme="minorHAnsi"/>
          <w:kern w:val="0"/>
          <w:lang w:val="en-GB" w:eastAsia="pt-PT"/>
          <w14:ligatures w14:val="none"/>
        </w:rPr>
        <w:t xml:space="preserve"> and grounded in European social values.</w:t>
      </w:r>
    </w:p>
    <w:p w14:paraId="2A56B892" w14:textId="77777777" w:rsidR="007B6B62" w:rsidRPr="007B6B62" w:rsidRDefault="007B6B62" w:rsidP="007B6B62">
      <w:pPr>
        <w:jc w:val="both"/>
        <w:rPr>
          <w:rFonts w:cstheme="minorHAnsi"/>
          <w:lang w:val="en-GB"/>
        </w:rPr>
      </w:pPr>
    </w:p>
    <w:sectPr w:rsidR="007B6B62" w:rsidRPr="007B6B62">
      <w:headerReference w:type="default" r:id="rId7"/>
      <w:footerReference w:type="even" r:id="rId8"/>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1F6F2" w14:textId="77777777" w:rsidR="002D1AF8" w:rsidRDefault="002D1AF8" w:rsidP="00E76E21">
      <w:pPr>
        <w:spacing w:after="0" w:line="240" w:lineRule="auto"/>
      </w:pPr>
      <w:r>
        <w:separator/>
      </w:r>
    </w:p>
  </w:endnote>
  <w:endnote w:type="continuationSeparator" w:id="0">
    <w:p w14:paraId="70D317C6" w14:textId="77777777" w:rsidR="002D1AF8" w:rsidRDefault="002D1AF8" w:rsidP="00E7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4984351"/>
      <w:docPartObj>
        <w:docPartGallery w:val="Page Numbers (Bottom of Page)"/>
        <w:docPartUnique/>
      </w:docPartObj>
    </w:sdtPr>
    <w:sdtContent>
      <w:p w14:paraId="2DF609E8" w14:textId="7F02C9AA" w:rsidR="00547FE9" w:rsidRDefault="00547FE9" w:rsidP="008648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8FA20" w14:textId="77777777" w:rsidR="00547FE9" w:rsidRDefault="00547FE9" w:rsidP="00547F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1048044"/>
      <w:docPartObj>
        <w:docPartGallery w:val="Page Numbers (Bottom of Page)"/>
        <w:docPartUnique/>
      </w:docPartObj>
    </w:sdtPr>
    <w:sdtContent>
      <w:p w14:paraId="578320B8" w14:textId="6A33BCA7" w:rsidR="00547FE9" w:rsidRDefault="00547FE9" w:rsidP="008648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F488ACC" w14:textId="02855185" w:rsidR="00E76E21" w:rsidRDefault="00E76E21" w:rsidP="007B6B62">
    <w:pPr>
      <w:pStyle w:val="Footer"/>
      <w:ind w:right="360"/>
    </w:pPr>
    <w:r>
      <w:rPr>
        <w:noProof/>
      </w:rPr>
      <w:drawing>
        <wp:inline distT="0" distB="0" distL="0" distR="0" wp14:anchorId="56C513CA" wp14:editId="540C70C7">
          <wp:extent cx="1859441" cy="487722"/>
          <wp:effectExtent l="0" t="0" r="0" b="0"/>
          <wp:docPr id="15928695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69504" name="Picture 1592869504"/>
                  <pic:cNvPicPr/>
                </pic:nvPicPr>
                <pic:blipFill>
                  <a:blip r:embed="rId1">
                    <a:extLst>
                      <a:ext uri="{28A0092B-C50C-407E-A947-70E740481C1C}">
                        <a14:useLocalDpi xmlns:a14="http://schemas.microsoft.com/office/drawing/2010/main" val="0"/>
                      </a:ext>
                    </a:extLst>
                  </a:blip>
                  <a:stretch>
                    <a:fillRect/>
                  </a:stretch>
                </pic:blipFill>
                <pic:spPr>
                  <a:xfrm>
                    <a:off x="0" y="0"/>
                    <a:ext cx="1859441" cy="487722"/>
                  </a:xfrm>
                  <a:prstGeom prst="rect">
                    <a:avLst/>
                  </a:prstGeom>
                </pic:spPr>
              </pic:pic>
            </a:graphicData>
          </a:graphic>
        </wp:inline>
      </w:drawing>
    </w:r>
  </w:p>
  <w:p w14:paraId="70E61D2D" w14:textId="3C979FA8" w:rsidR="00873323" w:rsidRPr="00873323" w:rsidRDefault="00873323" w:rsidP="00873323">
    <w:pPr>
      <w:rPr>
        <w:sz w:val="18"/>
        <w:szCs w:val="18"/>
      </w:rPr>
    </w:pPr>
    <w:r w:rsidRPr="00873323">
      <w:rPr>
        <w:sz w:val="18"/>
        <w:szCs w:val="18"/>
      </w:rPr>
      <w:t>Funded by the European Union. Views and opinions expressed are however those of the author(s) only, and do not necessarily reflect those of the European Union or European Commission.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8C8EA" w14:textId="77777777" w:rsidR="002D1AF8" w:rsidRDefault="002D1AF8" w:rsidP="00E76E21">
      <w:pPr>
        <w:spacing w:after="0" w:line="240" w:lineRule="auto"/>
      </w:pPr>
      <w:r>
        <w:separator/>
      </w:r>
    </w:p>
  </w:footnote>
  <w:footnote w:type="continuationSeparator" w:id="0">
    <w:p w14:paraId="389C68D7" w14:textId="77777777" w:rsidR="002D1AF8" w:rsidRDefault="002D1AF8" w:rsidP="00E76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B982C" w14:textId="05577019" w:rsidR="00E76E21" w:rsidRPr="007B6B62" w:rsidRDefault="00E76E21" w:rsidP="007B6B62">
    <w:pPr>
      <w:spacing w:after="0" w:line="240" w:lineRule="auto"/>
    </w:pPr>
    <w:r w:rsidRPr="007B6B62">
      <w:tab/>
    </w:r>
    <w:r w:rsidR="00873323">
      <w:tab/>
    </w:r>
    <w:r w:rsidR="00873323">
      <w:tab/>
    </w:r>
    <w:r w:rsidRPr="007B6B62">
      <w:rPr>
        <w:noProof/>
      </w:rPr>
      <w:drawing>
        <wp:inline distT="0" distB="0" distL="0" distR="0" wp14:anchorId="1ABB6BD1" wp14:editId="005CCCC7">
          <wp:extent cx="3337560" cy="3337560"/>
          <wp:effectExtent l="0" t="0" r="0" b="0"/>
          <wp:docPr id="129904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4574" name="Picture 129904574"/>
                  <pic:cNvPicPr/>
                </pic:nvPicPr>
                <pic:blipFill>
                  <a:blip r:embed="rId1">
                    <a:extLst>
                      <a:ext uri="{28A0092B-C50C-407E-A947-70E740481C1C}">
                        <a14:useLocalDpi xmlns:a14="http://schemas.microsoft.com/office/drawing/2010/main" val="0"/>
                      </a:ext>
                    </a:extLst>
                  </a:blip>
                  <a:stretch>
                    <a:fillRect/>
                  </a:stretch>
                </pic:blipFill>
                <pic:spPr>
                  <a:xfrm>
                    <a:off x="0" y="0"/>
                    <a:ext cx="3391411" cy="3391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71D7D"/>
    <w:multiLevelType w:val="multilevel"/>
    <w:tmpl w:val="F558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C4B2B"/>
    <w:multiLevelType w:val="hybridMultilevel"/>
    <w:tmpl w:val="F0743E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65448EE"/>
    <w:multiLevelType w:val="hybridMultilevel"/>
    <w:tmpl w:val="2FA664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5A3F5D42"/>
    <w:multiLevelType w:val="multilevel"/>
    <w:tmpl w:val="CD1C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267E5D"/>
    <w:multiLevelType w:val="multilevel"/>
    <w:tmpl w:val="147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659416">
    <w:abstractNumId w:val="3"/>
  </w:num>
  <w:num w:numId="2" w16cid:durableId="1382435851">
    <w:abstractNumId w:val="0"/>
  </w:num>
  <w:num w:numId="3" w16cid:durableId="268121936">
    <w:abstractNumId w:val="4"/>
  </w:num>
  <w:num w:numId="4" w16cid:durableId="505899303">
    <w:abstractNumId w:val="2"/>
  </w:num>
  <w:num w:numId="5" w16cid:durableId="2043047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91"/>
    <w:rsid w:val="00015FF0"/>
    <w:rsid w:val="00031E73"/>
    <w:rsid w:val="0004606E"/>
    <w:rsid w:val="00071641"/>
    <w:rsid w:val="000D6E22"/>
    <w:rsid w:val="001036A6"/>
    <w:rsid w:val="00132D37"/>
    <w:rsid w:val="00151C02"/>
    <w:rsid w:val="00173737"/>
    <w:rsid w:val="001D2336"/>
    <w:rsid w:val="002075B3"/>
    <w:rsid w:val="002103D7"/>
    <w:rsid w:val="00233101"/>
    <w:rsid w:val="00290145"/>
    <w:rsid w:val="002D1AF8"/>
    <w:rsid w:val="0033622F"/>
    <w:rsid w:val="003B205D"/>
    <w:rsid w:val="004378D5"/>
    <w:rsid w:val="00463894"/>
    <w:rsid w:val="004870DD"/>
    <w:rsid w:val="004E33EA"/>
    <w:rsid w:val="004E7653"/>
    <w:rsid w:val="004F2C66"/>
    <w:rsid w:val="00527040"/>
    <w:rsid w:val="00547FE9"/>
    <w:rsid w:val="00560761"/>
    <w:rsid w:val="00567225"/>
    <w:rsid w:val="0057735C"/>
    <w:rsid w:val="0058337A"/>
    <w:rsid w:val="005872A7"/>
    <w:rsid w:val="005D22BB"/>
    <w:rsid w:val="005F5FEC"/>
    <w:rsid w:val="00685467"/>
    <w:rsid w:val="0075700A"/>
    <w:rsid w:val="007B6B62"/>
    <w:rsid w:val="0085573E"/>
    <w:rsid w:val="00873323"/>
    <w:rsid w:val="0089358A"/>
    <w:rsid w:val="009066C8"/>
    <w:rsid w:val="009837EE"/>
    <w:rsid w:val="009903E1"/>
    <w:rsid w:val="009C38E2"/>
    <w:rsid w:val="009F1225"/>
    <w:rsid w:val="00A40495"/>
    <w:rsid w:val="00AC5500"/>
    <w:rsid w:val="00B247A2"/>
    <w:rsid w:val="00B41419"/>
    <w:rsid w:val="00B93671"/>
    <w:rsid w:val="00BA6A5D"/>
    <w:rsid w:val="00C31B9C"/>
    <w:rsid w:val="00CF1813"/>
    <w:rsid w:val="00D03BFC"/>
    <w:rsid w:val="00D86787"/>
    <w:rsid w:val="00DD28EB"/>
    <w:rsid w:val="00E76E21"/>
    <w:rsid w:val="00E91EA5"/>
    <w:rsid w:val="00ED375C"/>
    <w:rsid w:val="00EF7824"/>
    <w:rsid w:val="00EF7D8A"/>
    <w:rsid w:val="00F52D07"/>
    <w:rsid w:val="00F54CC2"/>
    <w:rsid w:val="00F72B91"/>
    <w:rsid w:val="00F7689A"/>
    <w:rsid w:val="00FB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9DE06"/>
  <w15:chartTrackingRefBased/>
  <w15:docId w15:val="{3F62DE50-4351-4C1D-97C4-0510889A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B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2B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72B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2B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2B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2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B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2B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72B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2B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2B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2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B91"/>
    <w:rPr>
      <w:rFonts w:eastAsiaTheme="majorEastAsia" w:cstheme="majorBidi"/>
      <w:color w:val="272727" w:themeColor="text1" w:themeTint="D8"/>
    </w:rPr>
  </w:style>
  <w:style w:type="paragraph" w:styleId="Title">
    <w:name w:val="Title"/>
    <w:basedOn w:val="Normal"/>
    <w:next w:val="Normal"/>
    <w:link w:val="TitleChar"/>
    <w:uiPriority w:val="10"/>
    <w:qFormat/>
    <w:rsid w:val="00F72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B91"/>
    <w:pPr>
      <w:spacing w:before="160"/>
      <w:jc w:val="center"/>
    </w:pPr>
    <w:rPr>
      <w:i/>
      <w:iCs/>
      <w:color w:val="404040" w:themeColor="text1" w:themeTint="BF"/>
    </w:rPr>
  </w:style>
  <w:style w:type="character" w:customStyle="1" w:styleId="QuoteChar">
    <w:name w:val="Quote Char"/>
    <w:basedOn w:val="DefaultParagraphFont"/>
    <w:link w:val="Quote"/>
    <w:uiPriority w:val="29"/>
    <w:rsid w:val="00F72B91"/>
    <w:rPr>
      <w:i/>
      <w:iCs/>
      <w:color w:val="404040" w:themeColor="text1" w:themeTint="BF"/>
    </w:rPr>
  </w:style>
  <w:style w:type="paragraph" w:styleId="ListParagraph">
    <w:name w:val="List Paragraph"/>
    <w:basedOn w:val="Normal"/>
    <w:uiPriority w:val="34"/>
    <w:qFormat/>
    <w:rsid w:val="00F72B91"/>
    <w:pPr>
      <w:ind w:left="720"/>
      <w:contextualSpacing/>
    </w:pPr>
  </w:style>
  <w:style w:type="character" w:styleId="IntenseEmphasis">
    <w:name w:val="Intense Emphasis"/>
    <w:basedOn w:val="DefaultParagraphFont"/>
    <w:uiPriority w:val="21"/>
    <w:qFormat/>
    <w:rsid w:val="00F72B91"/>
    <w:rPr>
      <w:i/>
      <w:iCs/>
      <w:color w:val="2F5496" w:themeColor="accent1" w:themeShade="BF"/>
    </w:rPr>
  </w:style>
  <w:style w:type="paragraph" w:styleId="IntenseQuote">
    <w:name w:val="Intense Quote"/>
    <w:basedOn w:val="Normal"/>
    <w:next w:val="Normal"/>
    <w:link w:val="IntenseQuoteChar"/>
    <w:uiPriority w:val="30"/>
    <w:qFormat/>
    <w:rsid w:val="00F72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2B91"/>
    <w:rPr>
      <w:i/>
      <w:iCs/>
      <w:color w:val="2F5496" w:themeColor="accent1" w:themeShade="BF"/>
    </w:rPr>
  </w:style>
  <w:style w:type="character" w:styleId="IntenseReference">
    <w:name w:val="Intense Reference"/>
    <w:basedOn w:val="DefaultParagraphFont"/>
    <w:uiPriority w:val="32"/>
    <w:qFormat/>
    <w:rsid w:val="00F72B91"/>
    <w:rPr>
      <w:b/>
      <w:bCs/>
      <w:smallCaps/>
      <w:color w:val="2F5496" w:themeColor="accent1" w:themeShade="BF"/>
      <w:spacing w:val="5"/>
    </w:rPr>
  </w:style>
  <w:style w:type="table" w:styleId="TableGrid">
    <w:name w:val="Table Grid"/>
    <w:basedOn w:val="TableNormal"/>
    <w:uiPriority w:val="39"/>
    <w:rsid w:val="0013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32D3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76E21"/>
    <w:pPr>
      <w:tabs>
        <w:tab w:val="center" w:pos="4703"/>
        <w:tab w:val="right" w:pos="9406"/>
      </w:tabs>
      <w:spacing w:after="0" w:line="240" w:lineRule="auto"/>
    </w:pPr>
  </w:style>
  <w:style w:type="character" w:customStyle="1" w:styleId="HeaderChar">
    <w:name w:val="Header Char"/>
    <w:basedOn w:val="DefaultParagraphFont"/>
    <w:link w:val="Header"/>
    <w:uiPriority w:val="99"/>
    <w:rsid w:val="00E76E21"/>
  </w:style>
  <w:style w:type="paragraph" w:styleId="Footer">
    <w:name w:val="footer"/>
    <w:basedOn w:val="Normal"/>
    <w:link w:val="FooterChar"/>
    <w:uiPriority w:val="99"/>
    <w:unhideWhenUsed/>
    <w:rsid w:val="00E76E21"/>
    <w:pPr>
      <w:tabs>
        <w:tab w:val="center" w:pos="4703"/>
        <w:tab w:val="right" w:pos="9406"/>
      </w:tabs>
      <w:spacing w:after="0" w:line="240" w:lineRule="auto"/>
    </w:pPr>
  </w:style>
  <w:style w:type="character" w:customStyle="1" w:styleId="FooterChar">
    <w:name w:val="Footer Char"/>
    <w:basedOn w:val="DefaultParagraphFont"/>
    <w:link w:val="Footer"/>
    <w:uiPriority w:val="99"/>
    <w:rsid w:val="00E76E21"/>
  </w:style>
  <w:style w:type="character" w:styleId="PageNumber">
    <w:name w:val="page number"/>
    <w:basedOn w:val="DefaultParagraphFont"/>
    <w:uiPriority w:val="99"/>
    <w:semiHidden/>
    <w:unhideWhenUsed/>
    <w:rsid w:val="00547FE9"/>
  </w:style>
  <w:style w:type="paragraph" w:styleId="NormalWeb">
    <w:name w:val="Normal (Web)"/>
    <w:basedOn w:val="Normal"/>
    <w:uiPriority w:val="99"/>
    <w:semiHidden/>
    <w:unhideWhenUsed/>
    <w:rsid w:val="007B6B62"/>
    <w:pPr>
      <w:spacing w:before="100" w:beforeAutospacing="1" w:after="100" w:afterAutospacing="1" w:line="240" w:lineRule="auto"/>
    </w:pPr>
    <w:rPr>
      <w:rFonts w:ascii="Times New Roman" w:eastAsia="Times New Roman" w:hAnsi="Times New Roman" w:cs="Times New Roman"/>
      <w:kern w:val="0"/>
      <w:lang w:val="pt-PT" w:eastAsia="pt-PT"/>
      <w14:ligatures w14:val="none"/>
    </w:rPr>
  </w:style>
  <w:style w:type="character" w:styleId="Strong">
    <w:name w:val="Strong"/>
    <w:basedOn w:val="DefaultParagraphFont"/>
    <w:uiPriority w:val="22"/>
    <w:qFormat/>
    <w:rsid w:val="007B6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69143">
      <w:bodyDiv w:val="1"/>
      <w:marLeft w:val="0"/>
      <w:marRight w:val="0"/>
      <w:marTop w:val="0"/>
      <w:marBottom w:val="0"/>
      <w:divBdr>
        <w:top w:val="none" w:sz="0" w:space="0" w:color="auto"/>
        <w:left w:val="none" w:sz="0" w:space="0" w:color="auto"/>
        <w:bottom w:val="none" w:sz="0" w:space="0" w:color="auto"/>
        <w:right w:val="none" w:sz="0" w:space="0" w:color="auto"/>
      </w:divBdr>
      <w:divsChild>
        <w:div w:id="1125663361">
          <w:marLeft w:val="0"/>
          <w:marRight w:val="0"/>
          <w:marTop w:val="0"/>
          <w:marBottom w:val="0"/>
          <w:divBdr>
            <w:top w:val="none" w:sz="0" w:space="0" w:color="auto"/>
            <w:left w:val="none" w:sz="0" w:space="0" w:color="auto"/>
            <w:bottom w:val="none" w:sz="0" w:space="0" w:color="auto"/>
            <w:right w:val="none" w:sz="0" w:space="0" w:color="auto"/>
          </w:divBdr>
        </w:div>
        <w:div w:id="2102489790">
          <w:marLeft w:val="0"/>
          <w:marRight w:val="0"/>
          <w:marTop w:val="0"/>
          <w:marBottom w:val="0"/>
          <w:divBdr>
            <w:top w:val="none" w:sz="0" w:space="0" w:color="auto"/>
            <w:left w:val="none" w:sz="0" w:space="0" w:color="auto"/>
            <w:bottom w:val="none" w:sz="0" w:space="0" w:color="auto"/>
            <w:right w:val="none" w:sz="0" w:space="0" w:color="auto"/>
          </w:divBdr>
        </w:div>
      </w:divsChild>
    </w:div>
    <w:div w:id="91069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776</Words>
  <Characters>4997</Characters>
  <Application>Microsoft Office Word</Application>
  <DocSecurity>0</DocSecurity>
  <Lines>83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2025-05-06T10:33:00Z</cp:lastPrinted>
  <dcterms:created xsi:type="dcterms:W3CDTF">2025-05-06T10:35:00Z</dcterms:created>
  <dcterms:modified xsi:type="dcterms:W3CDTF">2025-05-29T08:45:00Z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677cb7fce1a4aa87caa5bf02ad211fa62e41e3a73a48dea3e6e6b339ded1e718</vt:lpwstr>
  </property>
</Properties>
</file>